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1731338442</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Барбон Анастасія Олександрівна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Барбон Анастасія Олександрівна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3572511144</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2010350000000652433</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26.09.2024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1731338442</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Софії Русової 1-б</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.3</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 кавʼярня</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Барбон Анастасія Олександрівна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Остафія Дашкевича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22</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3572511144</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2010350000000652433</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0938802744</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Барбон А.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1731338442</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1731338442</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Барбон Анастасія Олександрівна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Барбон Анастасія Олександрівна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3572511144</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2010350000000652433</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26.09.2024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1731338442</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Барбон А.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Барбон Анастасія Олександрівна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Остафія Дашкевича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22</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3572511144</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2010350000000652433</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0938802744</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Барбон А.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