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1714478510</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Штомпель Анастасія Віталіївна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Штомпель Анастасія Віталіївна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3845309084</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009825025</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3215</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20.10.2023</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1714478510</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с. Святопетрівське</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Теплична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.38</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Кавʼярня</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5BAC526F"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Штомпель Анастасія Віталіївна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 Софіївська Борщагівка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Соборна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103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36</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3845309084</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009825025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3215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20.10.2023</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0958906097</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Штомпель А. В.</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1714478510</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1714478510</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Штомпель Анастасія Віталіївна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Штомпель Анастасія Віталіївна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3845309084</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009825025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3215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20.10.2023</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1714478510</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Штомпель А. В.</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Штомпель Анастасія Віталіївна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 Софіївська Борщагівка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Соборна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103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36</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3845309084</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009825025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3215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20.10.2023</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0958906097</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Штомпель А. В.</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2024-04-23T08:21:00Z</dcterms:modified>
</cp:coreProperties>
</file>