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1711454919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27.03.2024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Райтаровська Юлія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Райтаровська Юлія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3159801766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2010350000000501157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№1711454919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СН:4944774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проспект.Миколи Бажана, буд.1а,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Райтаровська Юлія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м.Бобровиця,  вулиця.Лупицька, буд., 2, кв. 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3159801766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2010350000000501157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0673678148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Райтаровська Ю.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№1711454919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27.03.2024р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Райтаровська Юлія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Райтаровська Юлія Анатоліївна, РНОКПП 3159801766, який діє на підставі витягу з ЄДР, номер запису 2010350000000501157 від 13.02.2024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СН:4944774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№1711454919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Райтаровська Ю.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Райтаровська Юлія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м.Бобровиця,  вулиця.Лупицька, буд., 2, кв. 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3159801766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2010350000000501157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0673678148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Райтаровська Ю.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