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1709809997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Крячко Вікторія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Крячко Вікторія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3482009285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2010350000000502802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1709809997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вул.Березинська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Чорний 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Крячко Вікторія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вул.Терещенківська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3482009285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2010350000000502802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0937295861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Крячко В.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1709809997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Крячко Вікторія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Крячко Вікторія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3482009285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2010350000000502802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1709809997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Крячко В.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Крячко Вікторія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вул.Терещенківська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3482009285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2010350000000502802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0937295861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Крячко В.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