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1729167858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Жуковська Лілія Валентинівна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Жуковська Лілія Валентинівна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3550604340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2010240000000001182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04.10.2024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1729167858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Одеська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м.Біляївка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вул.Успенська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.7</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2 поверх , 1 приміщення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Жуковська Лілія Валентинівна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м.Біляївка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вул.Садова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17</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3550604340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2010240000000001182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0636176564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Жуковська Л.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1729167858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1729167858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Жуковська Лілія Валентинівна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Жуковська Лілія Валентинівна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3550604340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2010240000000001182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04.10.2024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1729167858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Жуковська Л.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Жуковська Лілія Валентинівна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м.Біляївка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вул.Садова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17</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3550604340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2010240000000001182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0636176564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Жуковська Л.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