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1718203986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Батрак Олег Григорович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Батрак Олег Григорович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3009415855</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СН908676</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Деснянський РУ ГУ МВС України в місті Києві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12.07.2007</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1718203986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Михайла Донця</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.2А</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офіс 1047/нп (4 секція)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Батрак Олег Григорович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Михайла Донця</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363</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3009415855</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СН908676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Деснянський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12.07.2007</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0930014334</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Батрак О. Г.</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1718203986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1718203986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Батрак Олег Григорович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Батрак Олег Григорович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3009415855</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СН908676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Деснянський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12.07.2007</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1718203986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Батрак О. Г.</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Батрак Олег Григорович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Михайла Донця</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363</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3009415855</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СН908676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Деснянський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12.07.2007</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0930014334</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Батрак О. Г.</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